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附件二：</w:t>
      </w:r>
    </w:p>
    <w:p>
      <w:pPr>
        <w:jc w:val="center"/>
        <w:rPr>
          <w:rFonts w:hint="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eastAsia="zh-CN"/>
        </w:rPr>
        <w:t>靖边县人大常委会重大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vertAlign w:val="baseline"/>
          <w:lang w:eastAsia="zh-CN"/>
        </w:rPr>
        <w:t>事项备案范围一览表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vertAlign w:val="baseline"/>
          <w:lang w:eastAsia="zh-CN"/>
        </w:rPr>
      </w:pPr>
    </w:p>
    <w:tbl>
      <w:tblPr>
        <w:tblStyle w:val="4"/>
        <w:tblW w:w="10158" w:type="dxa"/>
        <w:tblInd w:w="-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7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7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宏观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政策法规类</w:t>
            </w:r>
          </w:p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75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0" w:lineRule="exact"/>
              <w:ind w:right="0" w:rightChars="0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县人民政府颁布的规范性文件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镇人民代表大会通过的具有普遍约束力的决议、决定；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0" w:lineRule="exact"/>
              <w:ind w:right="0" w:rightChars="0"/>
              <w:jc w:val="left"/>
              <w:textAlignment w:val="auto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法律、法规规定应当报县人大常委会备案的其他重大事项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2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财政预算及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资金类</w:t>
            </w:r>
          </w:p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75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0" w:lineRule="exact"/>
              <w:ind w:right="0" w:rightChars="0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按年度编制以权责发生制为基础的政府综合财务报告，报告政府整体财务状况、运行情况和财政中长期可持续性情况；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0" w:lineRule="exact"/>
              <w:ind w:right="0" w:rightChars="0"/>
              <w:textAlignment w:val="auto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2.涉及全县人民切身利益的水、电、供热、供气、公共交通等公共资源经营权的出租、转让、拍卖、服务价格调整，</w:t>
            </w:r>
            <w: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  <w:t>教育、医疗等公益服务价格的调整，对农民、企业等收费的国家行政机关收费项目和收费标准的调整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及列入政府听证会的事项。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规划类</w:t>
            </w:r>
          </w:p>
        </w:tc>
        <w:tc>
          <w:tcPr>
            <w:tcW w:w="75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0" w:lineRule="exact"/>
              <w:ind w:right="0" w:rightChars="0"/>
              <w:jc w:val="left"/>
              <w:textAlignment w:val="auto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镇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村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行政区划的调整和行政区域名称的变更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其他类</w:t>
            </w:r>
          </w:p>
        </w:tc>
        <w:tc>
          <w:tcPr>
            <w:tcW w:w="756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0" w:lineRule="exact"/>
              <w:ind w:right="0" w:rightChars="0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县人民政府机构改革方案，县人民法院、县人民检察院工作机构的设置和变更方案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0" w:lineRule="exact"/>
              <w:ind w:right="0" w:rightChars="0"/>
              <w:jc w:val="left"/>
              <w:textAlignment w:val="auto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人民检察院依法提出的抗诉案件，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人民法院对抗诉案件的审理情况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jc w:val="both"/>
        <w:rPr>
          <w:rFonts w:hint="eastAsia"/>
          <w:sz w:val="44"/>
          <w:szCs w:val="44"/>
          <w:vertAlign w:val="baseline"/>
          <w:lang w:eastAsia="zh-CN"/>
        </w:rPr>
      </w:pPr>
    </w:p>
    <w:sectPr>
      <w:pgSz w:w="11906" w:h="16838"/>
      <w:pgMar w:top="850" w:right="1701" w:bottom="85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48320"/>
    <w:multiLevelType w:val="singleLevel"/>
    <w:tmpl w:val="5874832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74903E"/>
    <w:multiLevelType w:val="singleLevel"/>
    <w:tmpl w:val="5874903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D19F9"/>
    <w:rsid w:val="1827765D"/>
    <w:rsid w:val="1AA36133"/>
    <w:rsid w:val="1D050842"/>
    <w:rsid w:val="20487C27"/>
    <w:rsid w:val="22EF1727"/>
    <w:rsid w:val="245507BF"/>
    <w:rsid w:val="2D8B1E1F"/>
    <w:rsid w:val="2DE76523"/>
    <w:rsid w:val="30EC7908"/>
    <w:rsid w:val="3357097A"/>
    <w:rsid w:val="36DD19F9"/>
    <w:rsid w:val="373710C7"/>
    <w:rsid w:val="431F4B88"/>
    <w:rsid w:val="48FA659F"/>
    <w:rsid w:val="51FE611B"/>
    <w:rsid w:val="53513465"/>
    <w:rsid w:val="54BE4E68"/>
    <w:rsid w:val="57A66C10"/>
    <w:rsid w:val="5F24618B"/>
    <w:rsid w:val="723520D1"/>
    <w:rsid w:val="7B2279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2017-01-03T06:52:00Z</dcterms:created>
  <dc:creator>Administrator</dc:creator>
  <cp:lastModifiedBy>Administrator</cp:lastModifiedBy>
  <cp:lastPrinted>2017-03-21T11:57:00Z</cp:lastPrinted>
  <dcterms:modified xsi:type="dcterms:W3CDTF">2017-03-30T07:31:35Z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